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Default="009D3B04" w:rsidP="009D3B04">
      <w:pPr>
        <w:rPr>
          <w:rFonts w:ascii="Arial" w:hAnsi="Arial" w:cs="Arial"/>
          <w:b/>
          <w:color w:val="0F243E" w:themeColor="text2" w:themeShade="80"/>
        </w:rPr>
      </w:pPr>
    </w:p>
    <w:p w:rsidR="006D0C74" w:rsidRDefault="006D0C74" w:rsidP="009D3B04">
      <w:pPr>
        <w:rPr>
          <w:rFonts w:ascii="Arial" w:hAnsi="Arial" w:cs="Arial"/>
          <w:b/>
          <w:color w:val="0F243E" w:themeColor="text2" w:themeShade="80"/>
        </w:rPr>
      </w:pPr>
    </w:p>
    <w:p w:rsidR="00446300" w:rsidRDefault="00446300" w:rsidP="009D3B04">
      <w:pPr>
        <w:rPr>
          <w:rFonts w:ascii="Arial" w:hAnsi="Arial" w:cs="Arial"/>
          <w:b/>
          <w:color w:val="0F243E" w:themeColor="text2" w:themeShade="80"/>
        </w:rPr>
      </w:pPr>
    </w:p>
    <w:p w:rsidR="00446300" w:rsidRDefault="00446300" w:rsidP="009D3B04">
      <w:pPr>
        <w:rPr>
          <w:rFonts w:ascii="Arial" w:hAnsi="Arial" w:cs="Arial"/>
          <w:b/>
          <w:color w:val="0F243E" w:themeColor="text2" w:themeShade="80"/>
        </w:rPr>
      </w:pPr>
    </w:p>
    <w:p w:rsidR="00446300" w:rsidRPr="0086312B" w:rsidRDefault="00446300"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3863F6">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4B1B71" w:rsidRDefault="004B1B71" w:rsidP="00CC21F3">
            <w:pPr>
              <w:rPr>
                <w:rFonts w:ascii="Arial" w:hAnsi="Arial" w:cs="Arial"/>
                <w:color w:val="0F243E" w:themeColor="text2" w:themeShade="80"/>
              </w:rPr>
            </w:pPr>
          </w:p>
          <w:p w:rsidR="004B1B71" w:rsidRPr="002D3F0D" w:rsidRDefault="004B1B71" w:rsidP="00CC21F3">
            <w:pPr>
              <w:rPr>
                <w:rFonts w:ascii="Arial" w:hAnsi="Arial" w:cs="Arial"/>
                <w:color w:val="0F243E" w:themeColor="text2" w:themeShade="80"/>
              </w:rPr>
            </w:pPr>
            <w:r>
              <w:rPr>
                <w:rFonts w:ascii="Arial" w:hAnsi="Arial" w:cs="Arial"/>
                <w:color w:val="0F243E" w:themeColor="text2" w:themeShade="80"/>
              </w:rPr>
              <w:t xml:space="preserve">PENAL </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4B1B71">
              <w:rPr>
                <w:rFonts w:ascii="Arial" w:hAnsi="Arial" w:cs="Arial"/>
                <w:color w:val="0F243E" w:themeColor="text2" w:themeShade="80"/>
              </w:rPr>
              <w:t xml:space="preserve"> X </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3863F6">
              <w:rPr>
                <w:rFonts w:ascii="Arial" w:hAnsi="Arial" w:cs="Arial"/>
                <w:b/>
                <w:color w:val="0F243E" w:themeColor="text2" w:themeShade="80"/>
              </w:rPr>
              <w:t>MEDICINA LEGAL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3863F6">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4B1B71">
              <w:rPr>
                <w:rFonts w:ascii="Arial" w:hAnsi="Arial" w:cs="Arial"/>
                <w:b/>
                <w:color w:val="0F243E" w:themeColor="text2" w:themeShade="80"/>
              </w:rPr>
              <w:t xml:space="preserve"> </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3863F6" w:rsidP="004B1B71">
            <w:pPr>
              <w:rPr>
                <w:rFonts w:ascii="Arial" w:hAnsi="Arial" w:cs="Arial"/>
                <w:b/>
                <w:color w:val="0F243E" w:themeColor="text2" w:themeShade="80"/>
              </w:rPr>
            </w:pPr>
            <w:r>
              <w:rPr>
                <w:rFonts w:ascii="Arial" w:hAnsi="Arial" w:cs="Arial"/>
                <w:b/>
                <w:color w:val="0F243E" w:themeColor="text2" w:themeShade="80"/>
              </w:rPr>
              <w:t>03-02-2015</w:t>
            </w: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3863F6">
              <w:rPr>
                <w:rFonts w:ascii="Arial" w:hAnsi="Arial" w:cs="Arial"/>
                <w:color w:val="0F243E" w:themeColor="text2" w:themeShade="80"/>
              </w:rPr>
              <w:t xml:space="preserve"> 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3863F6">
              <w:rPr>
                <w:rFonts w:ascii="Arial" w:hAnsi="Arial" w:cs="Arial"/>
                <w:color w:val="0F243E" w:themeColor="text2" w:themeShade="80"/>
              </w:rPr>
              <w:t>20</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3863F6">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3863F6">
              <w:rPr>
                <w:rFonts w:ascii="Arial" w:hAnsi="Arial" w:cs="Arial"/>
                <w:color w:val="0F243E" w:themeColor="text2" w:themeShade="80"/>
              </w:rPr>
              <w:t>1</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3863F6">
              <w:rPr>
                <w:rFonts w:ascii="Arial" w:hAnsi="Arial" w:cs="Arial"/>
                <w:color w:val="0F243E" w:themeColor="text2" w:themeShade="80"/>
              </w:rPr>
              <w:t>90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3863F6">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3863F6" w:rsidRPr="003863F6" w:rsidRDefault="003863F6" w:rsidP="003863F6">
            <w:pPr>
              <w:pStyle w:val="Default"/>
              <w:jc w:val="both"/>
            </w:pPr>
            <w:r w:rsidRPr="003863F6">
              <w:lastRenderedPageBreak/>
              <w:t xml:space="preserve">Tanto la Constitución Política de Colombia, la Ley 9 y sus decretos reglamentarios, la Resolución 9334 del 11-07-84 del ministerio de Salud, el Decreto 2455 del 31-07-86, el Decreto 786 de 1990, la Circular 25 del 10.08-92 del Ministerio de Salud, la Circular 13 del 13-10-95 del Ministerio de Salud. La Circular Conjunta de la </w:t>
            </w:r>
            <w:proofErr w:type="spellStart"/>
            <w:r w:rsidRPr="003863F6">
              <w:t>Fiscalia</w:t>
            </w:r>
            <w:proofErr w:type="spellEnd"/>
            <w:r w:rsidRPr="003863F6">
              <w:t xml:space="preserve"> General de la Nación y el Instituto Nacional de Medicina Legal y Ciencias Forenses, la Ley 270 de 1996, la Ley 906 de 2004 la Ley 734 de 2002,  establecen que los médicos que realizan el año de Servicio Social obligatorio (año rural), así como los médicos oficiales y más aún los médicos particulares deben cumplir con las funciones de médicos forenses si la autoridad competente así lo exige, quienes además deben rendir oportunamente los informes periciales correspondientes. El abogado interpretará el informe técnico médico legal y lo incorporará dentro de su teoría del caso.</w:t>
            </w:r>
          </w:p>
          <w:p w:rsidR="003863F6" w:rsidRPr="003863F6" w:rsidRDefault="003863F6" w:rsidP="003863F6">
            <w:pPr>
              <w:pStyle w:val="Default"/>
              <w:jc w:val="both"/>
            </w:pPr>
          </w:p>
          <w:p w:rsidR="009D3B04" w:rsidRPr="003863F6" w:rsidRDefault="003863F6" w:rsidP="003863F6">
            <w:pPr>
              <w:rPr>
                <w:rFonts w:ascii="Arial" w:hAnsi="Arial" w:cs="Arial"/>
                <w:color w:val="0F243E" w:themeColor="text2" w:themeShade="80"/>
              </w:rPr>
            </w:pPr>
            <w:r w:rsidRPr="003863F6">
              <w:rPr>
                <w:rFonts w:ascii="Arial" w:hAnsi="Arial" w:cs="Arial"/>
              </w:rPr>
              <w:t>El propósito de la asignatura consiste en que el alumno esté entrenado para interpretar el lenguaje técnico médico legal, éste conocimiento le servirá al futuro abogado para actuar en su práctica profesional acorde con la Constitución, la Ley y el Reglamento, lo cual le garantizará un excelente ejercicio profesional</w:t>
            </w:r>
          </w:p>
          <w:p w:rsidR="009D3B04" w:rsidRPr="003863F6"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3863F6" w:rsidRPr="003863F6" w:rsidRDefault="003863F6" w:rsidP="003863F6">
            <w:pPr>
              <w:jc w:val="both"/>
              <w:rPr>
                <w:rFonts w:ascii="Arial" w:hAnsi="Arial"/>
              </w:rPr>
            </w:pPr>
            <w:r w:rsidRPr="003863F6">
              <w:rPr>
                <w:rFonts w:ascii="Arial" w:hAnsi="Arial"/>
              </w:rPr>
              <w:t xml:space="preserve">Dotar al estudiante de Derecho de los conocimientos básicos de Medicina Forense y de brindarle la oportunidad de conocer los informes técnicos </w:t>
            </w:r>
            <w:proofErr w:type="gramStart"/>
            <w:r w:rsidRPr="003863F6">
              <w:rPr>
                <w:rFonts w:ascii="Arial" w:hAnsi="Arial"/>
              </w:rPr>
              <w:t>médico legales</w:t>
            </w:r>
            <w:proofErr w:type="gramEnd"/>
            <w:r w:rsidRPr="003863F6">
              <w:rPr>
                <w:rFonts w:ascii="Arial" w:hAnsi="Arial"/>
              </w:rPr>
              <w:t xml:space="preserve"> que encontrará con más frecuencia dentro de sus labores profesionales.</w:t>
            </w:r>
          </w:p>
          <w:p w:rsidR="003863F6" w:rsidRPr="003863F6" w:rsidRDefault="003863F6" w:rsidP="003863F6">
            <w:pPr>
              <w:jc w:val="both"/>
              <w:rPr>
                <w:rFonts w:ascii="Arial" w:hAnsi="Arial"/>
              </w:rPr>
            </w:pPr>
          </w:p>
          <w:p w:rsidR="009D3B04" w:rsidRDefault="003863F6" w:rsidP="00D6031F">
            <w:pPr>
              <w:rPr>
                <w:rFonts w:ascii="Arial" w:hAnsi="Arial" w:cs="Arial"/>
                <w:color w:val="0F243E" w:themeColor="text2" w:themeShade="80"/>
              </w:rPr>
            </w:pPr>
            <w:r w:rsidRPr="003863F6">
              <w:rPr>
                <w:rFonts w:ascii="Arial" w:hAnsi="Arial"/>
              </w:rPr>
              <w:t>El entrenamiento se enfocará hacia la patología de la violencia, fenómeno muy frecuente en nuestro medio, enfatizando en los casos más relevantes tanto por su frecuencia como por su impacto, por ejemplo las actuaciones en casos de homicidios, suicidios, accidentes de tránsito, violencia intrafamiliar, delitos sexuales, maltrato infantil. De otra parte se enfatizará sobre el adecuado manejo de los Elementos materiales probatorios y Evidencias Físicas, lo mismo que sobre la Cadena de Custodia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D6031F" w:rsidP="00D6031F">
            <w:pPr>
              <w:rPr>
                <w:rFonts w:ascii="Arial" w:hAnsi="Arial" w:cs="Arial"/>
                <w:color w:val="0F243E" w:themeColor="text2" w:themeShade="80"/>
              </w:rPr>
            </w:pPr>
            <w:r>
              <w:rPr>
                <w:rFonts w:ascii="Arial" w:hAnsi="Arial" w:cs="Arial"/>
                <w:color w:val="0F243E" w:themeColor="text2" w:themeShade="80"/>
              </w:rPr>
              <w:t>Involucrar al estudiante en la actividad pericial forense y descubrir la utilidad de los informes técnicos en las diferentes investigaciones judiciales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3863F6" w:rsidRPr="00A61B90" w:rsidRDefault="009D3B04" w:rsidP="003863F6">
            <w:pPr>
              <w:jc w:val="both"/>
              <w:rPr>
                <w:rFonts w:ascii="Arial" w:hAnsi="Arial"/>
                <w:sz w:val="18"/>
                <w:szCs w:val="18"/>
              </w:rPr>
            </w:pPr>
            <w:r>
              <w:rPr>
                <w:rFonts w:ascii="Arial" w:hAnsi="Arial" w:cs="Arial"/>
                <w:b/>
                <w:color w:val="0F243E" w:themeColor="text2" w:themeShade="80"/>
              </w:rPr>
              <w:t xml:space="preserve">Competencias básicas: </w:t>
            </w:r>
            <w:r w:rsidR="003863F6" w:rsidRPr="003863F6">
              <w:rPr>
                <w:rFonts w:ascii="Arial" w:hAnsi="Arial" w:cs="Arial"/>
                <w:color w:val="0F243E" w:themeColor="text2" w:themeShade="80"/>
              </w:rPr>
              <w:t>Interpretación de informes e investigación</w:t>
            </w:r>
          </w:p>
          <w:p w:rsidR="009D3B04" w:rsidRDefault="009D3B04" w:rsidP="00CC21F3">
            <w:pPr>
              <w:jc w:val="both"/>
              <w:rPr>
                <w:rFonts w:ascii="Arial" w:hAnsi="Arial" w:cs="Arial"/>
                <w:color w:val="2F2F2F"/>
                <w:sz w:val="18"/>
                <w:szCs w:val="18"/>
                <w:shd w:val="clear" w:color="auto" w:fill="FFFFFF"/>
              </w:rPr>
            </w:pPr>
          </w:p>
          <w:p w:rsidR="003863F6" w:rsidRPr="003863F6" w:rsidRDefault="009D3B04" w:rsidP="003863F6">
            <w:pPr>
              <w:jc w:val="both"/>
              <w:rPr>
                <w:rFonts w:ascii="Arial" w:hAnsi="Arial" w:cs="Arial"/>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sidR="003863F6" w:rsidRPr="003863F6">
              <w:rPr>
                <w:rFonts w:ascii="Arial" w:hAnsi="Arial" w:cs="Arial"/>
                <w:color w:val="0F243E" w:themeColor="text2" w:themeShade="80"/>
              </w:rPr>
              <w:t>C</w:t>
            </w:r>
            <w:r w:rsidR="003863F6" w:rsidRPr="003863F6">
              <w:rPr>
                <w:rFonts w:ascii="Arial" w:hAnsi="Arial" w:cs="Arial"/>
              </w:rPr>
              <w:t>onocer e interpretar los diferentes informes técnico científicos</w:t>
            </w:r>
          </w:p>
          <w:p w:rsidR="009D3B04" w:rsidRPr="003863F6" w:rsidRDefault="009D3B04" w:rsidP="00CC21F3">
            <w:pPr>
              <w:jc w:val="both"/>
              <w:rPr>
                <w:rFonts w:ascii="Arial" w:hAnsi="Arial" w:cs="Arial"/>
                <w:b/>
                <w:color w:val="0F243E" w:themeColor="text2" w:themeShade="80"/>
              </w:rPr>
            </w:pPr>
          </w:p>
          <w:p w:rsidR="00D6031F" w:rsidRDefault="009D3B04" w:rsidP="00D6031F">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p>
          <w:p w:rsidR="003863F6" w:rsidRPr="00D6031F" w:rsidRDefault="003863F6" w:rsidP="00D6031F">
            <w:pPr>
              <w:pStyle w:val="Prrafodelista"/>
              <w:numPr>
                <w:ilvl w:val="0"/>
                <w:numId w:val="42"/>
              </w:numPr>
              <w:jc w:val="both"/>
              <w:rPr>
                <w:rFonts w:ascii="Arial" w:hAnsi="Arial"/>
              </w:rPr>
            </w:pPr>
            <w:r w:rsidRPr="00D6031F">
              <w:rPr>
                <w:rFonts w:ascii="Arial" w:hAnsi="Arial"/>
              </w:rPr>
              <w:t>Diagnóstico de mecanismo, causa y manera de muerte</w:t>
            </w:r>
          </w:p>
          <w:p w:rsidR="003863F6" w:rsidRPr="00D6031F" w:rsidRDefault="003863F6" w:rsidP="00D6031F">
            <w:pPr>
              <w:pStyle w:val="Prrafodelista"/>
              <w:numPr>
                <w:ilvl w:val="0"/>
                <w:numId w:val="42"/>
              </w:numPr>
              <w:jc w:val="both"/>
              <w:rPr>
                <w:rFonts w:ascii="Arial" w:hAnsi="Arial"/>
              </w:rPr>
            </w:pPr>
            <w:r w:rsidRPr="00D6031F">
              <w:rPr>
                <w:rFonts w:ascii="Arial" w:hAnsi="Arial"/>
              </w:rPr>
              <w:t>Preservación de elementos materiales probatorios y evidencias físicas</w:t>
            </w:r>
          </w:p>
          <w:p w:rsidR="003863F6" w:rsidRPr="00D6031F" w:rsidRDefault="003863F6" w:rsidP="00D6031F">
            <w:pPr>
              <w:pStyle w:val="Prrafodelista"/>
              <w:numPr>
                <w:ilvl w:val="0"/>
                <w:numId w:val="42"/>
              </w:numPr>
              <w:jc w:val="both"/>
              <w:rPr>
                <w:rFonts w:ascii="Arial" w:hAnsi="Arial" w:cs="Arial"/>
                <w:b/>
              </w:rPr>
            </w:pPr>
            <w:r w:rsidRPr="00D6031F">
              <w:rPr>
                <w:rFonts w:ascii="Arial" w:hAnsi="Arial"/>
              </w:rPr>
              <w:t>Adecuado manejo de la Cadena de Custodia</w:t>
            </w:r>
          </w:p>
          <w:p w:rsidR="009D3B04" w:rsidRPr="00D6031F" w:rsidRDefault="003863F6" w:rsidP="003863F6">
            <w:pPr>
              <w:pStyle w:val="Prrafodelista"/>
              <w:numPr>
                <w:ilvl w:val="0"/>
                <w:numId w:val="42"/>
              </w:numPr>
              <w:jc w:val="both"/>
              <w:rPr>
                <w:rFonts w:ascii="Arial" w:hAnsi="Arial"/>
              </w:rPr>
            </w:pPr>
            <w:r w:rsidRPr="00D6031F">
              <w:rPr>
                <w:rFonts w:ascii="Arial" w:hAnsi="Arial"/>
              </w:rPr>
              <w:t>Incorporar al proceso las experticias solicitas por la autoridad</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D6031F" w:rsidRDefault="00D6031F" w:rsidP="00D6031F">
            <w:pPr>
              <w:jc w:val="both"/>
              <w:rPr>
                <w:rFonts w:ascii="Arial" w:hAnsi="Arial" w:cs="Arial"/>
                <w:sz w:val="18"/>
                <w:szCs w:val="18"/>
              </w:rPr>
            </w:pPr>
          </w:p>
          <w:p w:rsidR="00D6031F" w:rsidRPr="00B30978" w:rsidRDefault="00D6031F" w:rsidP="00D6031F">
            <w:pPr>
              <w:numPr>
                <w:ilvl w:val="1"/>
                <w:numId w:val="43"/>
              </w:numPr>
              <w:jc w:val="both"/>
              <w:rPr>
                <w:rFonts w:ascii="Arial" w:hAnsi="Arial" w:cs="Arial"/>
              </w:rPr>
            </w:pPr>
            <w:r w:rsidRPr="00B30978">
              <w:rPr>
                <w:rFonts w:ascii="Arial" w:hAnsi="Arial" w:cs="Arial"/>
              </w:rPr>
              <w:t>HISTORIA DE LA MEDICINA FORENSE: En el ámbito mundial, en Colombia, el Instituto Nacional de Medicina Legal y Ciencias Forenses. El médico como perito.</w:t>
            </w:r>
          </w:p>
          <w:p w:rsidR="00D6031F" w:rsidRPr="00B30978" w:rsidRDefault="00D6031F" w:rsidP="00D6031F">
            <w:pPr>
              <w:numPr>
                <w:ilvl w:val="1"/>
                <w:numId w:val="43"/>
              </w:numPr>
              <w:jc w:val="both"/>
              <w:rPr>
                <w:rFonts w:ascii="Arial" w:hAnsi="Arial" w:cs="Arial"/>
              </w:rPr>
            </w:pPr>
            <w:r w:rsidRPr="00B30978">
              <w:rPr>
                <w:rFonts w:ascii="Arial" w:hAnsi="Arial" w:cs="Arial"/>
              </w:rPr>
              <w:t xml:space="preserve">EL AREA </w:t>
            </w:r>
            <w:proofErr w:type="gramStart"/>
            <w:r w:rsidRPr="00B30978">
              <w:rPr>
                <w:rFonts w:ascii="Arial" w:hAnsi="Arial" w:cs="Arial"/>
              </w:rPr>
              <w:t>MEDICA</w:t>
            </w:r>
            <w:proofErr w:type="gramEnd"/>
            <w:r w:rsidRPr="00B30978">
              <w:rPr>
                <w:rFonts w:ascii="Arial" w:hAnsi="Arial" w:cs="Arial"/>
              </w:rPr>
              <w:t xml:space="preserve"> DEL INSTITUTO NACIONAL DE MEDICINA LEGAL Y CIENCIAS FORENSES: Grupos que lo conforman: Clínica Forense, Sexología, Psiquiatría, Tanatología, Neurología, Fisiatría, Odontología, Radiología, Interconsultas.</w:t>
            </w:r>
          </w:p>
          <w:p w:rsidR="00D6031F" w:rsidRPr="00B30978" w:rsidRDefault="00D6031F" w:rsidP="00D6031F">
            <w:pPr>
              <w:numPr>
                <w:ilvl w:val="1"/>
                <w:numId w:val="43"/>
              </w:numPr>
              <w:jc w:val="both"/>
              <w:rPr>
                <w:rFonts w:ascii="Arial" w:hAnsi="Arial" w:cs="Arial"/>
              </w:rPr>
            </w:pPr>
            <w:r w:rsidRPr="00B30978">
              <w:rPr>
                <w:rFonts w:ascii="Arial" w:hAnsi="Arial" w:cs="Arial"/>
              </w:rPr>
              <w:t xml:space="preserve">EL AREA DE LABORATORIOS FORENSES: Balística, Biología, </w:t>
            </w:r>
            <w:proofErr w:type="spellStart"/>
            <w:r w:rsidRPr="00B30978">
              <w:rPr>
                <w:rFonts w:ascii="Arial" w:hAnsi="Arial" w:cs="Arial"/>
              </w:rPr>
              <w:t>Lofoscopia</w:t>
            </w:r>
            <w:proofErr w:type="spellEnd"/>
            <w:r w:rsidRPr="00B30978">
              <w:rPr>
                <w:rFonts w:ascii="Arial" w:hAnsi="Arial" w:cs="Arial"/>
              </w:rPr>
              <w:t>, Toxicología, Antropología, Grafología, Identificación, Física, Química, Fotografía, Dibujo, Planimetría, Topografía.</w:t>
            </w:r>
          </w:p>
          <w:p w:rsidR="00D6031F" w:rsidRPr="00B30978" w:rsidRDefault="00D6031F" w:rsidP="00D6031F">
            <w:pPr>
              <w:numPr>
                <w:ilvl w:val="1"/>
                <w:numId w:val="43"/>
              </w:numPr>
              <w:jc w:val="both"/>
              <w:rPr>
                <w:rFonts w:ascii="Arial" w:hAnsi="Arial" w:cs="Arial"/>
              </w:rPr>
            </w:pPr>
            <w:r w:rsidRPr="00B30978">
              <w:rPr>
                <w:rFonts w:ascii="Arial" w:hAnsi="Arial" w:cs="Arial"/>
              </w:rPr>
              <w:t>FUNCION DEL MEDICO COMO PERITO: Comparación del papel del médico como clínico y como perito. Análisis de la relación examinado – examinador frente a la relación médico – paciente.</w:t>
            </w:r>
          </w:p>
          <w:p w:rsidR="00D6031F" w:rsidRPr="00B30978" w:rsidRDefault="00D6031F" w:rsidP="00D6031F">
            <w:p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PERITAJE MEDICO FORENSE I: El Sistema Penal Acusatorio. El Proceso Penal. Partes del proceso Penal. Léxico Médico Forense. Autoridades que realizan solicitudes periciales.</w:t>
            </w:r>
          </w:p>
          <w:p w:rsidR="00D6031F" w:rsidRPr="00B30978" w:rsidRDefault="00D6031F" w:rsidP="00D6031F">
            <w:pPr>
              <w:numPr>
                <w:ilvl w:val="1"/>
                <w:numId w:val="43"/>
              </w:numPr>
              <w:jc w:val="both"/>
              <w:rPr>
                <w:rFonts w:ascii="Arial" w:hAnsi="Arial" w:cs="Arial"/>
              </w:rPr>
            </w:pPr>
            <w:r w:rsidRPr="00B30978">
              <w:rPr>
                <w:rFonts w:ascii="Arial" w:hAnsi="Arial" w:cs="Arial"/>
              </w:rPr>
              <w:t>PERITAJE MEDICO FORENSE II: El dictamen pericial. Partes del dictamen. Técnicas del examen. Protocolo del dictamen pericial. Organización del Poder Judicial en Colombia.</w:t>
            </w:r>
          </w:p>
          <w:p w:rsidR="00D6031F" w:rsidRPr="00B30978" w:rsidRDefault="00D6031F" w:rsidP="00D6031F">
            <w:pPr>
              <w:numPr>
                <w:ilvl w:val="1"/>
                <w:numId w:val="43"/>
              </w:numPr>
              <w:jc w:val="both"/>
              <w:rPr>
                <w:rFonts w:ascii="Arial" w:hAnsi="Arial" w:cs="Arial"/>
              </w:rPr>
            </w:pPr>
            <w:r w:rsidRPr="00B30978">
              <w:rPr>
                <w:rFonts w:ascii="Arial" w:hAnsi="Arial" w:cs="Arial"/>
              </w:rPr>
              <w:lastRenderedPageBreak/>
              <w:t>PERITAJE MEDICO FORENSE III: Términos y oportunidad del dictamen. Impedimentos y recusaciones. Aclaración, adición, ampliación de dictámenes. Objeción.</w:t>
            </w:r>
          </w:p>
          <w:p w:rsidR="00D6031F" w:rsidRPr="00B30978" w:rsidRDefault="00D6031F" w:rsidP="00D6031F">
            <w:p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RECONOCIMIENTO POR LESIONES I: Lesiones personales. Configuración del delito. Daño en el cuerpo y en la salud. Partes del dictamen: Anamnesis, Naturaleza de la lesión, Mecanismo causal. Incapacidad Médico Legal, Secuelas Médico Legales. Diversos tipos de lesiones. Lesiones con patrón específico.</w:t>
            </w:r>
          </w:p>
          <w:p w:rsidR="00D6031F" w:rsidRPr="00B30978" w:rsidRDefault="00D6031F" w:rsidP="00D6031F">
            <w:pPr>
              <w:numPr>
                <w:ilvl w:val="1"/>
                <w:numId w:val="43"/>
              </w:numPr>
              <w:jc w:val="both"/>
              <w:rPr>
                <w:rFonts w:ascii="Arial" w:hAnsi="Arial" w:cs="Arial"/>
              </w:rPr>
            </w:pPr>
            <w:r w:rsidRPr="00B30978">
              <w:rPr>
                <w:rFonts w:ascii="Arial" w:hAnsi="Arial" w:cs="Arial"/>
              </w:rPr>
              <w:t>RECONOCIMIENTO POR LESIONES II: Incapacidad médico legal comparada con la Incapacidad laboral. Incapacidad médico legal provisional y definitiva. Criterios para fijar la incapacidad. Tablas de incapacidad. Secuelas Médico Legales: Estéticas, Funcionales, Carenciales, Obstétricas. Concepto de rostro, órgano, miembro.</w:t>
            </w:r>
          </w:p>
          <w:p w:rsidR="00D6031F" w:rsidRPr="00B30978" w:rsidRDefault="00D6031F" w:rsidP="00D6031F">
            <w:pPr>
              <w:numPr>
                <w:ilvl w:val="1"/>
                <w:numId w:val="43"/>
              </w:numPr>
              <w:jc w:val="both"/>
              <w:rPr>
                <w:rFonts w:ascii="Arial" w:hAnsi="Arial" w:cs="Arial"/>
              </w:rPr>
            </w:pPr>
            <w:r w:rsidRPr="00B30978">
              <w:rPr>
                <w:rFonts w:ascii="Arial" w:hAnsi="Arial" w:cs="Arial"/>
              </w:rPr>
              <w:t>RECONOCIMIENTO POR LESIONES III: Discusión de casos de interés forense y comunitario.</w:t>
            </w:r>
          </w:p>
          <w:p w:rsidR="00D6031F" w:rsidRPr="00B30978" w:rsidRDefault="00D6031F" w:rsidP="00D6031F">
            <w:pPr>
              <w:jc w:val="both"/>
              <w:rPr>
                <w:rFonts w:ascii="Arial" w:hAnsi="Arial" w:cs="Arial"/>
              </w:rPr>
            </w:pPr>
          </w:p>
          <w:p w:rsidR="00D6031F" w:rsidRPr="00B30978" w:rsidRDefault="00D6031F" w:rsidP="00D6031F">
            <w:pPr>
              <w:jc w:val="both"/>
              <w:rPr>
                <w:rFonts w:ascii="Arial" w:hAnsi="Arial" w:cs="Arial"/>
              </w:rPr>
            </w:pPr>
          </w:p>
          <w:p w:rsidR="00D6031F" w:rsidRPr="00B30978" w:rsidRDefault="00D6031F" w:rsidP="00D6031F">
            <w:pPr>
              <w:ind w:left="1080"/>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RECONOCIMIENTO AL MENOR MALTRATADO I: Marco legal. Indicadores físicos y psíquicos del maltrato. Síndrome del niño zarandeado. Lesiones internas y externas del niño maltratado. Maltrato social: El niño abandonado, el niño de la calle y en la calle, el menor infractor, el niño trabajador, el menor vinculado al conflicto armado.</w:t>
            </w:r>
          </w:p>
          <w:p w:rsidR="00D6031F" w:rsidRPr="00B30978" w:rsidRDefault="00D6031F" w:rsidP="00D6031F">
            <w:pPr>
              <w:numPr>
                <w:ilvl w:val="1"/>
                <w:numId w:val="43"/>
              </w:numPr>
              <w:jc w:val="both"/>
              <w:rPr>
                <w:rFonts w:ascii="Arial" w:hAnsi="Arial" w:cs="Arial"/>
              </w:rPr>
            </w:pPr>
            <w:r w:rsidRPr="00B30978">
              <w:rPr>
                <w:rFonts w:ascii="Arial" w:hAnsi="Arial" w:cs="Arial"/>
              </w:rPr>
              <w:t>RECONOCIMIENTO AL MENOR MALTRATADO II: Efectos del maltrato infantil. Manejo y prevención del maltrato. Cifras de maltrato infantil en  Colombia según el Instituto de Medicina Legal.</w:t>
            </w:r>
          </w:p>
          <w:p w:rsidR="00D6031F" w:rsidRPr="00B30978" w:rsidRDefault="00D6031F" w:rsidP="00D6031F">
            <w:p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DICTAMEN DE EDAD I: Parámetros clínicos y paraclínicos: Talla, peso, desarrollo de caracteres sexuales secundarios, desarrollo psicomotor, desarrollo óseo, erupción dentaria, otros parámetros útiles.</w:t>
            </w:r>
          </w:p>
          <w:p w:rsidR="00D6031F" w:rsidRPr="00B30978" w:rsidRDefault="00D6031F" w:rsidP="00D6031F">
            <w:pPr>
              <w:numPr>
                <w:ilvl w:val="1"/>
                <w:numId w:val="43"/>
              </w:numPr>
              <w:jc w:val="both"/>
              <w:rPr>
                <w:rFonts w:ascii="Arial" w:hAnsi="Arial" w:cs="Arial"/>
              </w:rPr>
            </w:pPr>
            <w:r w:rsidRPr="00B30978">
              <w:rPr>
                <w:rFonts w:ascii="Arial" w:hAnsi="Arial" w:cs="Arial"/>
              </w:rPr>
              <w:t>DICTAMEN DE EDAD II: Aplicaciones prácticas para el dictamen de edad.</w:t>
            </w:r>
          </w:p>
          <w:p w:rsidR="00D6031F" w:rsidRPr="00B30978" w:rsidRDefault="00D6031F" w:rsidP="00D6031F">
            <w:p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SEXOLOGÍA FORENSE I: Legislación sobre delitos sexuales. Investigación criminal en delitos sexuales. Interrogatorio.</w:t>
            </w:r>
          </w:p>
          <w:p w:rsidR="00D6031F" w:rsidRPr="00B30978" w:rsidRDefault="00D6031F" w:rsidP="00D6031F">
            <w:pPr>
              <w:numPr>
                <w:ilvl w:val="1"/>
                <w:numId w:val="43"/>
              </w:numPr>
              <w:jc w:val="both"/>
              <w:rPr>
                <w:rFonts w:ascii="Arial" w:hAnsi="Arial" w:cs="Arial"/>
              </w:rPr>
            </w:pPr>
            <w:r w:rsidRPr="00B30978">
              <w:rPr>
                <w:rFonts w:ascii="Arial" w:hAnsi="Arial" w:cs="Arial"/>
              </w:rPr>
              <w:t>SEXOLOGÍA FORENSE II: Protocolo del dictamen pericial. Estado de los órganos genitales. Formas del himen. Desfloración. Escotaduras y desgarros. Himen dilatable. Examen anal.</w:t>
            </w:r>
          </w:p>
          <w:p w:rsidR="00D6031F" w:rsidRPr="00B30978" w:rsidRDefault="00D6031F" w:rsidP="00D6031F">
            <w:pPr>
              <w:numPr>
                <w:ilvl w:val="1"/>
                <w:numId w:val="43"/>
              </w:numPr>
              <w:jc w:val="both"/>
              <w:rPr>
                <w:rFonts w:ascii="Arial" w:hAnsi="Arial" w:cs="Arial"/>
              </w:rPr>
            </w:pPr>
            <w:r w:rsidRPr="00B30978">
              <w:rPr>
                <w:rFonts w:ascii="Arial" w:hAnsi="Arial" w:cs="Arial"/>
              </w:rPr>
              <w:t>SEXOLOGÍA FORENSE III: Agravantes punitivos. Diagnóstico forense de embarazo. Contaminación venérea. Perturbación psíquica.</w:t>
            </w:r>
          </w:p>
          <w:p w:rsidR="00D6031F" w:rsidRPr="00B30978" w:rsidRDefault="00D6031F" w:rsidP="00D6031F">
            <w:p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PSIQUIATRIA FORENSE I: Técnica del examen mental. Protocolo del dictamen psiquiátrico forense. El papel del psiquiatra como perito. Imputabilidad. Perturbación psíquica. Interdicción.</w:t>
            </w:r>
          </w:p>
          <w:p w:rsidR="00D6031F" w:rsidRPr="00B30978" w:rsidRDefault="00D6031F" w:rsidP="00D6031F">
            <w:pPr>
              <w:numPr>
                <w:ilvl w:val="1"/>
                <w:numId w:val="43"/>
              </w:numPr>
              <w:jc w:val="both"/>
              <w:rPr>
                <w:rFonts w:ascii="Arial" w:hAnsi="Arial" w:cs="Arial"/>
              </w:rPr>
            </w:pPr>
            <w:r w:rsidRPr="00B30978">
              <w:rPr>
                <w:rFonts w:ascii="Arial" w:hAnsi="Arial" w:cs="Arial"/>
              </w:rPr>
              <w:lastRenderedPageBreak/>
              <w:t>PSIQUIATRIA FORENSE II: Asesinos seriales.</w:t>
            </w:r>
          </w:p>
          <w:p w:rsidR="00D6031F" w:rsidRPr="00B30978" w:rsidRDefault="00D6031F" w:rsidP="00D6031F">
            <w:p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ODONTOLOGÍA FORENSE I: La dentición. Carta dental. Utilidad de la Odontología Forense.</w:t>
            </w:r>
          </w:p>
          <w:p w:rsidR="00D6031F" w:rsidRPr="00B30978" w:rsidRDefault="00D6031F" w:rsidP="00D6031F">
            <w:pPr>
              <w:numPr>
                <w:ilvl w:val="1"/>
                <w:numId w:val="43"/>
              </w:numPr>
              <w:jc w:val="both"/>
              <w:rPr>
                <w:rFonts w:ascii="Arial" w:hAnsi="Arial" w:cs="Arial"/>
              </w:rPr>
            </w:pPr>
            <w:r w:rsidRPr="00B30978">
              <w:rPr>
                <w:rFonts w:ascii="Arial" w:hAnsi="Arial" w:cs="Arial"/>
              </w:rPr>
              <w:t xml:space="preserve">ODONTOLOGÍA FORENSE II: Lesiones en cavidad oral. </w:t>
            </w:r>
            <w:proofErr w:type="gramStart"/>
            <w:r w:rsidRPr="00B30978">
              <w:rPr>
                <w:rFonts w:ascii="Arial" w:hAnsi="Arial" w:cs="Arial"/>
              </w:rPr>
              <w:t>Secuelas odontológico forenses</w:t>
            </w:r>
            <w:proofErr w:type="gramEnd"/>
            <w:r w:rsidRPr="00B30978">
              <w:rPr>
                <w:rFonts w:ascii="Arial" w:hAnsi="Arial" w:cs="Arial"/>
              </w:rPr>
              <w:t>. Cálculo de edad. Responsabilidad profesional del odontólogo.</w:t>
            </w:r>
          </w:p>
          <w:p w:rsidR="00D6031F" w:rsidRPr="00B30978" w:rsidRDefault="00D6031F" w:rsidP="00D6031F">
            <w:p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BIOLOGÍA FORENSE I: Generalidades. Técnica en la toma de muestras. Cadena de Custodia. Exámenes de manchas de sangre y semen. Bacteriología Forense. Envío de muestras.</w:t>
            </w:r>
          </w:p>
          <w:p w:rsidR="00D6031F" w:rsidRPr="00B30978" w:rsidRDefault="00D6031F" w:rsidP="00D6031F">
            <w:pPr>
              <w:numPr>
                <w:ilvl w:val="1"/>
                <w:numId w:val="43"/>
              </w:numPr>
              <w:jc w:val="both"/>
              <w:rPr>
                <w:rFonts w:ascii="Arial" w:hAnsi="Arial" w:cs="Arial"/>
              </w:rPr>
            </w:pPr>
            <w:r w:rsidRPr="00B30978">
              <w:rPr>
                <w:rFonts w:ascii="Arial" w:hAnsi="Arial" w:cs="Arial"/>
              </w:rPr>
              <w:t>BIOLOGÍA FORENSE II: Hematología forense. Exclusión de paternidad. Generalidades de DNA.</w:t>
            </w:r>
          </w:p>
          <w:p w:rsidR="00D6031F" w:rsidRPr="00B30978" w:rsidRDefault="00D6031F" w:rsidP="00D6031F">
            <w:p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DICTAMEN DE EMBRIAGUEZ: El alcohol etílico y la Medicina Forense. Metabolismo e intoxicación por etanol. La embriaguez desde el punto de vista jurídico. El protocolo del dictamen pericial de embriaguez. Correlación clínica y de laboratorio.</w:t>
            </w:r>
          </w:p>
          <w:p w:rsidR="00D6031F" w:rsidRPr="00B30978" w:rsidRDefault="00D6031F" w:rsidP="00D6031F">
            <w:pPr>
              <w:numPr>
                <w:ilvl w:val="1"/>
                <w:numId w:val="43"/>
              </w:num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 xml:space="preserve"> DICTAMEN DE ESTADO DE SALUD: Legislación. Concepto de Grave Enfermedad. Técnicas de examen. Protocolo del dictamen pericial.</w:t>
            </w:r>
          </w:p>
          <w:p w:rsidR="00D6031F" w:rsidRPr="00B30978" w:rsidRDefault="00D6031F" w:rsidP="00D6031F">
            <w:pPr>
              <w:numPr>
                <w:ilvl w:val="1"/>
                <w:numId w:val="43"/>
              </w:numPr>
              <w:jc w:val="both"/>
              <w:rPr>
                <w:rFonts w:ascii="Arial" w:hAnsi="Arial" w:cs="Arial"/>
              </w:rPr>
            </w:pPr>
          </w:p>
          <w:p w:rsidR="00D6031F" w:rsidRPr="00B30978" w:rsidRDefault="00D6031F" w:rsidP="00D6031F">
            <w:pPr>
              <w:numPr>
                <w:ilvl w:val="1"/>
                <w:numId w:val="43"/>
              </w:numPr>
              <w:jc w:val="both"/>
              <w:rPr>
                <w:rFonts w:ascii="Arial" w:hAnsi="Arial" w:cs="Arial"/>
              </w:rPr>
            </w:pPr>
            <w:r w:rsidRPr="00B30978">
              <w:rPr>
                <w:rFonts w:ascii="Arial" w:hAnsi="Arial" w:cs="Arial"/>
              </w:rPr>
              <w:t xml:space="preserve"> EMBRIAGUEZ NO ALCOHOLICA: Dictamen para dosis personal. Drogadicción. Estatuto Nacional de Estupefacientes. Dependencia física y psíquica. Acostumbramiento y síndrome de abstinencia. Dosis terapéutica y dosis personal. Ley 30 de 1986.</w:t>
            </w:r>
          </w:p>
          <w:p w:rsidR="00D6031F" w:rsidRPr="00B30978" w:rsidRDefault="00D6031F" w:rsidP="00D6031F">
            <w:pPr>
              <w:jc w:val="both"/>
              <w:rPr>
                <w:rFonts w:ascii="Arial" w:hAnsi="Arial" w:cs="Arial"/>
              </w:rPr>
            </w:pPr>
          </w:p>
          <w:p w:rsidR="00D6031F" w:rsidRPr="00B30978" w:rsidRDefault="00D6031F" w:rsidP="00D6031F">
            <w:pPr>
              <w:pStyle w:val="Sangra2detindependiente"/>
              <w:rPr>
                <w:rFonts w:ascii="Arial" w:hAnsi="Arial" w:cs="Arial"/>
                <w:sz w:val="24"/>
                <w:szCs w:val="24"/>
              </w:rPr>
            </w:pPr>
            <w:r w:rsidRPr="00B30978">
              <w:rPr>
                <w:rFonts w:ascii="Arial" w:hAnsi="Arial" w:cs="Arial"/>
                <w:sz w:val="24"/>
                <w:szCs w:val="24"/>
              </w:rPr>
              <w:t xml:space="preserve">TANATOLOGIA FORENSE I: La muerte. Muerte cerebral. Trasplante de órganos y tejidos. Cambios post mortem. </w:t>
            </w:r>
            <w:proofErr w:type="spellStart"/>
            <w:r w:rsidRPr="00B30978">
              <w:rPr>
                <w:rFonts w:ascii="Arial" w:hAnsi="Arial" w:cs="Arial"/>
                <w:sz w:val="24"/>
                <w:szCs w:val="24"/>
              </w:rPr>
              <w:t>Cronotanatodiagnóstico</w:t>
            </w:r>
            <w:proofErr w:type="spellEnd"/>
            <w:r w:rsidRPr="00B30978">
              <w:rPr>
                <w:rFonts w:ascii="Arial" w:hAnsi="Arial" w:cs="Arial"/>
                <w:sz w:val="24"/>
                <w:szCs w:val="24"/>
              </w:rPr>
              <w:t>.</w:t>
            </w:r>
          </w:p>
          <w:p w:rsidR="00D6031F" w:rsidRPr="00B30978" w:rsidRDefault="00D6031F" w:rsidP="00D6031F">
            <w:pPr>
              <w:numPr>
                <w:ilvl w:val="1"/>
                <w:numId w:val="43"/>
              </w:numPr>
              <w:jc w:val="both"/>
              <w:rPr>
                <w:rFonts w:ascii="Arial" w:hAnsi="Arial" w:cs="Arial"/>
              </w:rPr>
            </w:pPr>
            <w:r w:rsidRPr="00B30978">
              <w:rPr>
                <w:rFonts w:ascii="Arial" w:hAnsi="Arial" w:cs="Arial"/>
              </w:rPr>
              <w:t>TANATOLOGIA FORENSE II: Acta de inspección técnica a cadáver. El médico como investigador en el lugar de los hechos.</w:t>
            </w:r>
          </w:p>
          <w:p w:rsidR="00D6031F" w:rsidRPr="00B30978" w:rsidRDefault="00D6031F" w:rsidP="00D6031F">
            <w:pPr>
              <w:numPr>
                <w:ilvl w:val="1"/>
                <w:numId w:val="43"/>
              </w:numPr>
              <w:jc w:val="both"/>
              <w:rPr>
                <w:rFonts w:ascii="Arial" w:hAnsi="Arial" w:cs="Arial"/>
              </w:rPr>
            </w:pPr>
            <w:r w:rsidRPr="00B30978">
              <w:rPr>
                <w:rFonts w:ascii="Arial" w:hAnsi="Arial" w:cs="Arial"/>
              </w:rPr>
              <w:t xml:space="preserve"> TANATOLOGIA FORENSE III: La necropsia médico forense. Técnicas de la necropsia. Protocolo de necropsia. Certificado de defunción. Exhumación.</w:t>
            </w:r>
          </w:p>
          <w:p w:rsidR="00D6031F" w:rsidRPr="00B30978" w:rsidRDefault="00D6031F" w:rsidP="00D6031F">
            <w:pPr>
              <w:numPr>
                <w:ilvl w:val="1"/>
                <w:numId w:val="43"/>
              </w:numPr>
              <w:jc w:val="both"/>
              <w:rPr>
                <w:rFonts w:ascii="Arial" w:hAnsi="Arial" w:cs="Arial"/>
              </w:rPr>
            </w:pPr>
            <w:r w:rsidRPr="00B30978">
              <w:rPr>
                <w:rFonts w:ascii="Arial" w:hAnsi="Arial" w:cs="Arial"/>
              </w:rPr>
              <w:t>TANATOLOGIA FORENSE IV: Asfixias mecánicas. Ahogamiento. Estrangulación. Ahorcamiento. Sofocación.</w:t>
            </w:r>
          </w:p>
          <w:p w:rsidR="00D6031F" w:rsidRPr="00B30978" w:rsidRDefault="00D6031F" w:rsidP="00D6031F">
            <w:pPr>
              <w:numPr>
                <w:ilvl w:val="1"/>
                <w:numId w:val="43"/>
              </w:numPr>
              <w:jc w:val="both"/>
              <w:rPr>
                <w:rFonts w:ascii="Arial" w:hAnsi="Arial" w:cs="Arial"/>
              </w:rPr>
            </w:pPr>
            <w:r w:rsidRPr="00B30978">
              <w:rPr>
                <w:rFonts w:ascii="Arial" w:hAnsi="Arial" w:cs="Arial"/>
              </w:rPr>
              <w:t>TANATOLOGIA FORENSE V: Accidentes de tránsito. Trauma craneoencefálico. Lesiones del peatón, conductor, motociclista, pasajero, ciclista.</w:t>
            </w:r>
          </w:p>
          <w:p w:rsidR="00D6031F" w:rsidRPr="00B30978" w:rsidRDefault="00D6031F" w:rsidP="00D6031F">
            <w:pPr>
              <w:numPr>
                <w:ilvl w:val="1"/>
                <w:numId w:val="43"/>
              </w:numPr>
              <w:jc w:val="both"/>
              <w:rPr>
                <w:rFonts w:ascii="Arial" w:hAnsi="Arial" w:cs="Arial"/>
              </w:rPr>
            </w:pPr>
            <w:r w:rsidRPr="00B30978">
              <w:rPr>
                <w:rFonts w:ascii="Arial" w:hAnsi="Arial" w:cs="Arial"/>
              </w:rPr>
              <w:t xml:space="preserve">TANATOLOGIA FORENSE VI: Lesiones térmicas. Electrocución. </w:t>
            </w:r>
            <w:proofErr w:type="spellStart"/>
            <w:r w:rsidRPr="00B30978">
              <w:rPr>
                <w:rFonts w:ascii="Arial" w:hAnsi="Arial" w:cs="Arial"/>
              </w:rPr>
              <w:t>Electrofulguración</w:t>
            </w:r>
            <w:proofErr w:type="spellEnd"/>
            <w:r w:rsidRPr="00B30978">
              <w:rPr>
                <w:rFonts w:ascii="Arial" w:hAnsi="Arial" w:cs="Arial"/>
              </w:rPr>
              <w:t xml:space="preserve"> por rayo. Quemaduras.</w:t>
            </w:r>
          </w:p>
          <w:p w:rsidR="00D6031F" w:rsidRPr="00B30978" w:rsidRDefault="00D6031F" w:rsidP="00D6031F">
            <w:pPr>
              <w:numPr>
                <w:ilvl w:val="1"/>
                <w:numId w:val="43"/>
              </w:numPr>
              <w:jc w:val="both"/>
              <w:rPr>
                <w:rFonts w:ascii="Arial" w:hAnsi="Arial" w:cs="Arial"/>
              </w:rPr>
            </w:pPr>
            <w:r w:rsidRPr="00B30978">
              <w:rPr>
                <w:rFonts w:ascii="Arial" w:hAnsi="Arial" w:cs="Arial"/>
              </w:rPr>
              <w:t>TANATOLOGIA FORENSE VII: Balística. Lesiones por proyectil de arma de fuego y explosivos.</w:t>
            </w:r>
          </w:p>
          <w:p w:rsidR="00D6031F" w:rsidRPr="00B30978" w:rsidRDefault="00D6031F" w:rsidP="00D6031F">
            <w:pPr>
              <w:numPr>
                <w:ilvl w:val="1"/>
                <w:numId w:val="43"/>
              </w:numPr>
              <w:jc w:val="both"/>
              <w:rPr>
                <w:rFonts w:ascii="Arial" w:hAnsi="Arial" w:cs="Arial"/>
              </w:rPr>
            </w:pPr>
            <w:r w:rsidRPr="00B30978">
              <w:rPr>
                <w:rFonts w:ascii="Arial" w:hAnsi="Arial" w:cs="Arial"/>
              </w:rPr>
              <w:lastRenderedPageBreak/>
              <w:t>TANATOLOGIA FORENSE VIII: Lesiones por arma blanca.</w:t>
            </w:r>
          </w:p>
          <w:p w:rsidR="00D6031F" w:rsidRPr="00B30978" w:rsidRDefault="00D6031F" w:rsidP="00D6031F">
            <w:pPr>
              <w:numPr>
                <w:ilvl w:val="1"/>
                <w:numId w:val="43"/>
              </w:numPr>
              <w:jc w:val="both"/>
              <w:rPr>
                <w:rFonts w:ascii="Arial" w:hAnsi="Arial" w:cs="Arial"/>
              </w:rPr>
            </w:pPr>
            <w:r w:rsidRPr="00B30978">
              <w:rPr>
                <w:rFonts w:ascii="Arial" w:hAnsi="Arial" w:cs="Arial"/>
              </w:rPr>
              <w:t>TANATOLOGIA FORENSE IX: Muerte súbita. Muertes por intoxicación.</w:t>
            </w:r>
          </w:p>
          <w:p w:rsidR="005307D9" w:rsidRPr="00D6031F" w:rsidRDefault="00D6031F" w:rsidP="005307D9">
            <w:pPr>
              <w:numPr>
                <w:ilvl w:val="1"/>
                <w:numId w:val="43"/>
              </w:numPr>
              <w:jc w:val="both"/>
              <w:rPr>
                <w:rFonts w:ascii="Arial" w:hAnsi="Arial" w:cs="Arial"/>
                <w:sz w:val="18"/>
                <w:szCs w:val="18"/>
              </w:rPr>
            </w:pPr>
            <w:r w:rsidRPr="00B30978">
              <w:rPr>
                <w:rFonts w:ascii="Arial" w:hAnsi="Arial" w:cs="Arial"/>
              </w:rPr>
              <w:t>TANATOLOGIA FORENSE X: Antropología forense. Bases fundamentales para determinar en restos óseos: Género, edad, talla, ancestro racial</w:t>
            </w:r>
            <w:r w:rsidRPr="00092976">
              <w:rPr>
                <w:rFonts w:ascii="Arial" w:hAnsi="Arial" w:cs="Arial"/>
                <w:sz w:val="18"/>
                <w:szCs w:val="18"/>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B30978" w:rsidRPr="00B30978" w:rsidRDefault="00B30978" w:rsidP="00B30978">
            <w:pPr>
              <w:numPr>
                <w:ilvl w:val="0"/>
                <w:numId w:val="44"/>
              </w:numPr>
              <w:jc w:val="both"/>
              <w:rPr>
                <w:rFonts w:ascii="Arial" w:hAnsi="Arial"/>
              </w:rPr>
            </w:pPr>
            <w:r w:rsidRPr="00B30978">
              <w:rPr>
                <w:rFonts w:ascii="Arial" w:hAnsi="Arial"/>
              </w:rPr>
              <w:t>Clases magistrales con apoyo en discusiones de lecturas previas</w:t>
            </w:r>
          </w:p>
          <w:p w:rsidR="00B30978" w:rsidRPr="00B30978" w:rsidRDefault="00B30978" w:rsidP="00B30978">
            <w:pPr>
              <w:numPr>
                <w:ilvl w:val="0"/>
                <w:numId w:val="44"/>
              </w:numPr>
              <w:jc w:val="both"/>
              <w:rPr>
                <w:rFonts w:ascii="Arial" w:hAnsi="Arial"/>
              </w:rPr>
            </w:pPr>
            <w:r>
              <w:rPr>
                <w:rFonts w:ascii="Arial" w:hAnsi="Arial"/>
              </w:rPr>
              <w:t xml:space="preserve">Revisión y discusión de informes técnicos de </w:t>
            </w:r>
            <w:r w:rsidRPr="00B30978">
              <w:rPr>
                <w:rFonts w:ascii="Arial" w:hAnsi="Arial"/>
              </w:rPr>
              <w:t>necropsias médico legales</w:t>
            </w:r>
          </w:p>
          <w:p w:rsidR="00B30978" w:rsidRPr="00B30978" w:rsidRDefault="00B30978" w:rsidP="00B30978">
            <w:pPr>
              <w:numPr>
                <w:ilvl w:val="0"/>
                <w:numId w:val="44"/>
              </w:numPr>
              <w:jc w:val="both"/>
              <w:rPr>
                <w:rFonts w:ascii="Arial" w:hAnsi="Arial"/>
              </w:rPr>
            </w:pPr>
            <w:r>
              <w:rPr>
                <w:rFonts w:ascii="Arial" w:hAnsi="Arial"/>
              </w:rPr>
              <w:t>Revisión y discusión de informes técnicos de lesiones personales</w:t>
            </w:r>
          </w:p>
          <w:p w:rsidR="00B30978" w:rsidRPr="00B30978" w:rsidRDefault="00B30978" w:rsidP="00B30978">
            <w:pPr>
              <w:numPr>
                <w:ilvl w:val="0"/>
                <w:numId w:val="44"/>
              </w:numPr>
              <w:jc w:val="both"/>
              <w:rPr>
                <w:rFonts w:ascii="Arial" w:hAnsi="Arial"/>
              </w:rPr>
            </w:pPr>
            <w:r w:rsidRPr="00B30978">
              <w:rPr>
                <w:rFonts w:ascii="Arial" w:hAnsi="Arial"/>
              </w:rPr>
              <w:t>Proyección de ayudas audiovisuales (videos, documentales), para su posterior discusión</w:t>
            </w:r>
          </w:p>
          <w:p w:rsidR="00B30978" w:rsidRPr="00B30978" w:rsidRDefault="00B30978" w:rsidP="00B30978">
            <w:pPr>
              <w:numPr>
                <w:ilvl w:val="0"/>
                <w:numId w:val="44"/>
              </w:numPr>
              <w:jc w:val="both"/>
              <w:rPr>
                <w:rFonts w:ascii="Arial" w:hAnsi="Arial"/>
              </w:rPr>
            </w:pPr>
            <w:r w:rsidRPr="00B30978">
              <w:rPr>
                <w:rFonts w:ascii="Arial" w:hAnsi="Arial"/>
              </w:rPr>
              <w:t>Exposiciones por parte de los estudiantes a cerca de temas asignados por los docentes</w:t>
            </w:r>
          </w:p>
          <w:p w:rsidR="00B30978" w:rsidRPr="00B30978" w:rsidRDefault="00B30978" w:rsidP="00B30978">
            <w:pPr>
              <w:numPr>
                <w:ilvl w:val="0"/>
                <w:numId w:val="44"/>
              </w:numPr>
              <w:jc w:val="both"/>
              <w:rPr>
                <w:rFonts w:ascii="Arial" w:hAnsi="Arial"/>
              </w:rPr>
            </w:pPr>
            <w:r w:rsidRPr="00B30978">
              <w:rPr>
                <w:rFonts w:ascii="Arial" w:hAnsi="Arial"/>
              </w:rPr>
              <w:t>Revisión de casos in</w:t>
            </w:r>
            <w:r>
              <w:rPr>
                <w:rFonts w:ascii="Arial" w:hAnsi="Arial"/>
              </w:rPr>
              <w:t xml:space="preserve">teresantes y de necropsias que </w:t>
            </w:r>
            <w:r w:rsidRPr="00B30978">
              <w:rPr>
                <w:rFonts w:ascii="Arial" w:hAnsi="Arial"/>
              </w:rPr>
              <w:t>ameriten discusión especial</w:t>
            </w:r>
          </w:p>
          <w:p w:rsidR="00B30978" w:rsidRPr="00B30978" w:rsidRDefault="00B30978" w:rsidP="00B30978">
            <w:pPr>
              <w:numPr>
                <w:ilvl w:val="0"/>
                <w:numId w:val="44"/>
              </w:numPr>
              <w:jc w:val="both"/>
              <w:rPr>
                <w:rFonts w:ascii="Arial" w:hAnsi="Arial"/>
              </w:rPr>
            </w:pPr>
            <w:r w:rsidRPr="00B30978">
              <w:rPr>
                <w:rFonts w:ascii="Arial" w:hAnsi="Arial"/>
              </w:rPr>
              <w:t>Foros acerca de temas elegidos en común con los estudiantes</w:t>
            </w:r>
          </w:p>
          <w:p w:rsidR="00B30978" w:rsidRPr="00B30978" w:rsidRDefault="00B30978" w:rsidP="002D12B2">
            <w:pPr>
              <w:numPr>
                <w:ilvl w:val="0"/>
                <w:numId w:val="44"/>
              </w:numPr>
              <w:jc w:val="both"/>
              <w:rPr>
                <w:rFonts w:ascii="Arial" w:hAnsi="Arial" w:cs="Arial"/>
                <w:color w:val="0F243E" w:themeColor="text2" w:themeShade="80"/>
              </w:rPr>
            </w:pPr>
            <w:r w:rsidRPr="00B30978">
              <w:rPr>
                <w:rFonts w:ascii="Arial" w:hAnsi="Arial"/>
              </w:rPr>
              <w:t>Lectura de textos, artículos, documentos relacionados con la materia</w:t>
            </w:r>
          </w:p>
          <w:p w:rsidR="009D3B04" w:rsidRPr="00B30978" w:rsidRDefault="00B30978" w:rsidP="002D12B2">
            <w:pPr>
              <w:numPr>
                <w:ilvl w:val="0"/>
                <w:numId w:val="44"/>
              </w:numPr>
              <w:jc w:val="both"/>
              <w:rPr>
                <w:rFonts w:ascii="Arial" w:hAnsi="Arial" w:cs="Arial"/>
                <w:color w:val="0F243E" w:themeColor="text2" w:themeShade="80"/>
              </w:rPr>
            </w:pPr>
            <w:r w:rsidRPr="00B30978">
              <w:rPr>
                <w:rFonts w:ascii="Arial" w:hAnsi="Arial"/>
              </w:rPr>
              <w:t>Traducción de artículos en inglés de temas forenses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BE2239" w:rsidP="00CC21F3">
            <w:pPr>
              <w:rPr>
                <w:rFonts w:ascii="Arial" w:hAnsi="Arial" w:cs="Arial"/>
                <w:color w:val="0F243E" w:themeColor="text2" w:themeShade="80"/>
              </w:rPr>
            </w:pPr>
            <w:r>
              <w:rPr>
                <w:rFonts w:ascii="Arial" w:hAnsi="Arial" w:cs="Arial"/>
                <w:color w:val="0F243E" w:themeColor="text2" w:themeShade="80"/>
              </w:rPr>
              <w:t>Dos exámenes parciales escritos con un peso porcentual de 30% cada uno</w:t>
            </w:r>
          </w:p>
          <w:p w:rsidR="009D3B04" w:rsidRDefault="00BE2239" w:rsidP="00BE2239">
            <w:pPr>
              <w:rPr>
                <w:rFonts w:ascii="Arial" w:hAnsi="Arial" w:cs="Arial"/>
                <w:color w:val="0F243E" w:themeColor="text2" w:themeShade="80"/>
              </w:rPr>
            </w:pPr>
            <w:r>
              <w:rPr>
                <w:rFonts w:ascii="Arial" w:hAnsi="Arial" w:cs="Arial"/>
                <w:color w:val="0F243E" w:themeColor="text2" w:themeShade="80"/>
              </w:rPr>
              <w:t>Examen final escrito con un peso porcentual del 40%</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BE2239" w:rsidRDefault="00BE2239" w:rsidP="00BE2239">
            <w:pPr>
              <w:jc w:val="both"/>
              <w:rPr>
                <w:sz w:val="18"/>
                <w:szCs w:val="18"/>
              </w:rPr>
            </w:pPr>
          </w:p>
          <w:p w:rsidR="00BE2239" w:rsidRPr="00BE2239" w:rsidRDefault="00BE2239" w:rsidP="00BE2239">
            <w:pPr>
              <w:pStyle w:val="Prrafodelista"/>
              <w:numPr>
                <w:ilvl w:val="0"/>
                <w:numId w:val="45"/>
              </w:numPr>
              <w:jc w:val="both"/>
              <w:rPr>
                <w:rFonts w:ascii="Arial" w:hAnsi="Arial"/>
                <w:sz w:val="24"/>
                <w:szCs w:val="24"/>
              </w:rPr>
            </w:pPr>
            <w:r w:rsidRPr="00BE2239">
              <w:rPr>
                <w:rFonts w:ascii="Arial" w:hAnsi="Arial"/>
                <w:sz w:val="24"/>
                <w:szCs w:val="24"/>
              </w:rPr>
              <w:t>Manuales del Instituto Nacional de Medicina Legal y Ciencias Forenses</w:t>
            </w:r>
          </w:p>
          <w:p w:rsidR="00BE2239" w:rsidRPr="00BE2239" w:rsidRDefault="00BE2239" w:rsidP="00BE2239">
            <w:pPr>
              <w:jc w:val="both"/>
              <w:rPr>
                <w:rFonts w:ascii="Arial" w:hAnsi="Arial"/>
              </w:rPr>
            </w:pPr>
          </w:p>
          <w:p w:rsidR="00BE2239" w:rsidRPr="00BE2239" w:rsidRDefault="00BE2239" w:rsidP="00BE2239">
            <w:pPr>
              <w:pStyle w:val="Prrafodelista"/>
              <w:numPr>
                <w:ilvl w:val="0"/>
                <w:numId w:val="45"/>
              </w:numPr>
              <w:jc w:val="both"/>
              <w:rPr>
                <w:rFonts w:ascii="Arial" w:hAnsi="Arial"/>
                <w:sz w:val="24"/>
                <w:szCs w:val="24"/>
              </w:rPr>
            </w:pPr>
            <w:r w:rsidRPr="00BE2239">
              <w:rPr>
                <w:rFonts w:ascii="Arial" w:hAnsi="Arial"/>
                <w:sz w:val="24"/>
                <w:szCs w:val="24"/>
              </w:rPr>
              <w:t>Procedimientos técnicos del Instituto Nacional de Medicina Legal y Ciencias Forenses</w:t>
            </w:r>
          </w:p>
          <w:p w:rsidR="00BE2239" w:rsidRPr="00BE2239" w:rsidRDefault="00BE2239" w:rsidP="00BE2239">
            <w:pPr>
              <w:jc w:val="both"/>
              <w:rPr>
                <w:rFonts w:ascii="Arial" w:hAnsi="Arial"/>
              </w:rPr>
            </w:pPr>
          </w:p>
          <w:p w:rsidR="00BE2239" w:rsidRPr="00BE2239" w:rsidRDefault="00BE2239" w:rsidP="00BE2239">
            <w:pPr>
              <w:pStyle w:val="Prrafodelista"/>
              <w:numPr>
                <w:ilvl w:val="0"/>
                <w:numId w:val="45"/>
              </w:numPr>
              <w:jc w:val="both"/>
              <w:rPr>
                <w:rFonts w:ascii="Arial" w:hAnsi="Arial"/>
                <w:sz w:val="24"/>
                <w:szCs w:val="24"/>
              </w:rPr>
            </w:pPr>
            <w:r w:rsidRPr="00BE2239">
              <w:rPr>
                <w:rFonts w:ascii="Arial" w:hAnsi="Arial"/>
                <w:sz w:val="24"/>
                <w:szCs w:val="24"/>
              </w:rPr>
              <w:t>Medicina Forense de César Augusto Giraldo</w:t>
            </w:r>
          </w:p>
          <w:p w:rsidR="00BE2239" w:rsidRPr="00BE2239" w:rsidRDefault="00BE2239" w:rsidP="00BE2239">
            <w:pPr>
              <w:jc w:val="both"/>
              <w:rPr>
                <w:rFonts w:ascii="Arial" w:hAnsi="Arial"/>
              </w:rPr>
            </w:pPr>
          </w:p>
          <w:p w:rsidR="00BE2239" w:rsidRPr="00BE2239" w:rsidRDefault="00BE2239" w:rsidP="00BE2239">
            <w:pPr>
              <w:pStyle w:val="Prrafodelista"/>
              <w:numPr>
                <w:ilvl w:val="0"/>
                <w:numId w:val="45"/>
              </w:numPr>
              <w:jc w:val="both"/>
              <w:rPr>
                <w:rFonts w:ascii="Arial" w:hAnsi="Arial"/>
                <w:sz w:val="24"/>
                <w:szCs w:val="24"/>
              </w:rPr>
            </w:pPr>
            <w:r w:rsidRPr="00BE2239">
              <w:rPr>
                <w:rFonts w:ascii="Arial" w:hAnsi="Arial"/>
                <w:sz w:val="24"/>
                <w:szCs w:val="24"/>
              </w:rPr>
              <w:t>Medicina Forense Manual Integrado de Nelson Téllez</w:t>
            </w:r>
          </w:p>
          <w:p w:rsidR="00BE2239" w:rsidRPr="00BE2239" w:rsidRDefault="00BE2239" w:rsidP="00BE2239">
            <w:pPr>
              <w:jc w:val="both"/>
              <w:rPr>
                <w:rFonts w:ascii="Arial" w:hAnsi="Arial"/>
              </w:rPr>
            </w:pPr>
          </w:p>
          <w:p w:rsidR="00BE2239" w:rsidRPr="00BE2239" w:rsidRDefault="00BE2239" w:rsidP="00BE2239">
            <w:pPr>
              <w:pStyle w:val="Prrafodelista"/>
              <w:numPr>
                <w:ilvl w:val="0"/>
                <w:numId w:val="45"/>
              </w:numPr>
              <w:jc w:val="both"/>
              <w:rPr>
                <w:rFonts w:ascii="Arial" w:hAnsi="Arial"/>
                <w:sz w:val="24"/>
                <w:szCs w:val="24"/>
              </w:rPr>
            </w:pPr>
            <w:r w:rsidRPr="00BE2239">
              <w:rPr>
                <w:rFonts w:ascii="Arial" w:hAnsi="Arial"/>
                <w:sz w:val="24"/>
                <w:szCs w:val="24"/>
              </w:rPr>
              <w:t>Responsabilidad Médica de Jorge Eduardo Paredes</w:t>
            </w:r>
          </w:p>
          <w:p w:rsidR="00BE2239" w:rsidRPr="00BE2239" w:rsidRDefault="00BE2239" w:rsidP="00BE2239">
            <w:pPr>
              <w:jc w:val="both"/>
              <w:rPr>
                <w:rFonts w:ascii="Arial" w:hAnsi="Arial"/>
              </w:rPr>
            </w:pPr>
          </w:p>
          <w:p w:rsidR="00BE2239" w:rsidRPr="00BE2239" w:rsidRDefault="00BE2239" w:rsidP="00BE2239">
            <w:pPr>
              <w:pStyle w:val="Prrafodelista"/>
              <w:numPr>
                <w:ilvl w:val="0"/>
                <w:numId w:val="45"/>
              </w:numPr>
              <w:jc w:val="both"/>
              <w:rPr>
                <w:rFonts w:ascii="Arial" w:hAnsi="Arial"/>
                <w:sz w:val="24"/>
                <w:szCs w:val="24"/>
              </w:rPr>
            </w:pPr>
            <w:r w:rsidRPr="00BE2239">
              <w:rPr>
                <w:rFonts w:ascii="Arial" w:hAnsi="Arial"/>
                <w:sz w:val="24"/>
                <w:szCs w:val="24"/>
              </w:rPr>
              <w:t>Medicina Forense y Deontología Médica de Eduardo Vargas Alvarado</w:t>
            </w:r>
          </w:p>
          <w:p w:rsidR="00BE2239" w:rsidRPr="00BE2239" w:rsidRDefault="00BE2239" w:rsidP="00BE2239">
            <w:pPr>
              <w:jc w:val="both"/>
              <w:rPr>
                <w:rFonts w:ascii="Arial" w:hAnsi="Arial"/>
              </w:rPr>
            </w:pPr>
          </w:p>
          <w:p w:rsidR="00BE2239" w:rsidRPr="00BE2239" w:rsidRDefault="00BE2239" w:rsidP="00BE2239">
            <w:pPr>
              <w:pStyle w:val="Prrafodelista"/>
              <w:numPr>
                <w:ilvl w:val="0"/>
                <w:numId w:val="45"/>
              </w:numPr>
              <w:jc w:val="both"/>
              <w:rPr>
                <w:rFonts w:ascii="Arial" w:hAnsi="Arial"/>
                <w:sz w:val="24"/>
                <w:szCs w:val="24"/>
              </w:rPr>
            </w:pPr>
            <w:r w:rsidRPr="00BE2239">
              <w:rPr>
                <w:rFonts w:ascii="Arial" w:hAnsi="Arial"/>
                <w:sz w:val="24"/>
                <w:szCs w:val="24"/>
              </w:rPr>
              <w:t>Medicina Forense de Keith Simpson</w:t>
            </w:r>
          </w:p>
          <w:p w:rsidR="00BE2239" w:rsidRPr="00BE2239" w:rsidRDefault="00BE2239" w:rsidP="00BE2239">
            <w:pPr>
              <w:jc w:val="both"/>
              <w:rPr>
                <w:rFonts w:ascii="Arial" w:hAnsi="Arial"/>
              </w:rPr>
            </w:pPr>
          </w:p>
          <w:p w:rsidR="00BE2239" w:rsidRPr="00BE2239" w:rsidRDefault="00BE2239" w:rsidP="00BE2239">
            <w:pPr>
              <w:pStyle w:val="Default"/>
              <w:numPr>
                <w:ilvl w:val="0"/>
                <w:numId w:val="45"/>
              </w:numPr>
            </w:pPr>
            <w:r w:rsidRPr="00BE2239">
              <w:t xml:space="preserve">Balística Forense de Pedro Telmo Echeverri </w:t>
            </w:r>
            <w:r w:rsidRPr="00BE2239">
              <w:rPr>
                <w:b/>
                <w:bCs/>
              </w:rPr>
              <w:t xml:space="preserve"> </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Default="00373F2F" w:rsidP="009D3B04"/>
    <w:p w:rsidR="00BE2239" w:rsidRDefault="00BE2239" w:rsidP="009D3B04"/>
    <w:p w:rsidR="00BE2239" w:rsidRPr="00BE2239" w:rsidRDefault="00BE2239" w:rsidP="009D3B04">
      <w:pPr>
        <w:rPr>
          <w:rFonts w:ascii="Arial" w:hAnsi="Arial" w:cs="Arial"/>
        </w:rPr>
      </w:pPr>
      <w:r w:rsidRPr="00BE2239">
        <w:rPr>
          <w:rFonts w:ascii="Arial" w:hAnsi="Arial" w:cs="Arial"/>
        </w:rPr>
        <w:t>Docente: Rafael Parra Serna</w:t>
      </w:r>
    </w:p>
    <w:sectPr w:rsidR="00BE2239" w:rsidRPr="00BE2239"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C5F" w:rsidRDefault="00DE3C5F">
      <w:r>
        <w:separator/>
      </w:r>
    </w:p>
  </w:endnote>
  <w:endnote w:type="continuationSeparator" w:id="0">
    <w:p w:rsidR="00DE3C5F" w:rsidRDefault="00DE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E3C5F" w:rsidP="00F60130">
                          <w:pPr>
                            <w:jc w:val="center"/>
                            <w:rPr>
                              <w:rFonts w:ascii="Myriad Pro" w:hAnsi="Myriad Pro"/>
                              <w:b/>
                              <w:sz w:val="16"/>
                              <w:szCs w:val="16"/>
                            </w:rPr>
                          </w:pPr>
                        </w:p>
                        <w:p w:rsidR="00133C1C" w:rsidRDefault="00DE3C5F"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77BDD" w:rsidP="00F60130">
                    <w:pPr>
                      <w:jc w:val="center"/>
                      <w:rPr>
                        <w:rFonts w:ascii="Myriad Pro" w:hAnsi="Myriad Pro"/>
                        <w:b/>
                        <w:sz w:val="16"/>
                        <w:szCs w:val="16"/>
                      </w:rPr>
                    </w:pPr>
                  </w:p>
                  <w:p w:rsidR="00133C1C" w:rsidRDefault="00E77BDD"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C5F" w:rsidRDefault="00DE3C5F">
      <w:r>
        <w:separator/>
      </w:r>
    </w:p>
  </w:footnote>
  <w:footnote w:type="continuationSeparator" w:id="0">
    <w:p w:rsidR="00DE3C5F" w:rsidRDefault="00DE3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E3C5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46300">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46300">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46300">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46300">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E3C5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7B2815"/>
    <w:multiLevelType w:val="hybridMultilevel"/>
    <w:tmpl w:val="AF5A99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E326CA7"/>
    <w:multiLevelType w:val="hybridMultilevel"/>
    <w:tmpl w:val="B52E326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9D34B1B"/>
    <w:multiLevelType w:val="hybridMultilevel"/>
    <w:tmpl w:val="67CEDB60"/>
    <w:lvl w:ilvl="0" w:tplc="A5E4939A">
      <w:start w:val="1"/>
      <w:numFmt w:val="decimal"/>
      <w:lvlText w:val="%1."/>
      <w:lvlJc w:val="left"/>
      <w:pPr>
        <w:tabs>
          <w:tab w:val="num" w:pos="1440"/>
        </w:tabs>
        <w:ind w:left="1440" w:hanging="360"/>
      </w:pPr>
      <w:rPr>
        <w:rFonts w:hint="default"/>
      </w:rPr>
    </w:lvl>
    <w:lvl w:ilvl="1" w:tplc="2598BCE8">
      <w:numFmt w:val="none"/>
      <w:lvlText w:val=""/>
      <w:lvlJc w:val="left"/>
      <w:pPr>
        <w:tabs>
          <w:tab w:val="num" w:pos="360"/>
        </w:tabs>
      </w:pPr>
    </w:lvl>
    <w:lvl w:ilvl="2" w:tplc="856E48B2">
      <w:numFmt w:val="none"/>
      <w:lvlText w:val=""/>
      <w:lvlJc w:val="left"/>
      <w:pPr>
        <w:tabs>
          <w:tab w:val="num" w:pos="360"/>
        </w:tabs>
      </w:pPr>
    </w:lvl>
    <w:lvl w:ilvl="3" w:tplc="28A0D684">
      <w:numFmt w:val="none"/>
      <w:lvlText w:val=""/>
      <w:lvlJc w:val="left"/>
      <w:pPr>
        <w:tabs>
          <w:tab w:val="num" w:pos="360"/>
        </w:tabs>
      </w:pPr>
    </w:lvl>
    <w:lvl w:ilvl="4" w:tplc="0CCAE022">
      <w:numFmt w:val="none"/>
      <w:lvlText w:val=""/>
      <w:lvlJc w:val="left"/>
      <w:pPr>
        <w:tabs>
          <w:tab w:val="num" w:pos="360"/>
        </w:tabs>
      </w:pPr>
    </w:lvl>
    <w:lvl w:ilvl="5" w:tplc="29D412CC">
      <w:numFmt w:val="none"/>
      <w:lvlText w:val=""/>
      <w:lvlJc w:val="left"/>
      <w:pPr>
        <w:tabs>
          <w:tab w:val="num" w:pos="360"/>
        </w:tabs>
      </w:pPr>
    </w:lvl>
    <w:lvl w:ilvl="6" w:tplc="866672C0">
      <w:numFmt w:val="none"/>
      <w:lvlText w:val=""/>
      <w:lvlJc w:val="left"/>
      <w:pPr>
        <w:tabs>
          <w:tab w:val="num" w:pos="360"/>
        </w:tabs>
      </w:pPr>
    </w:lvl>
    <w:lvl w:ilvl="7" w:tplc="B45E1DFA">
      <w:numFmt w:val="none"/>
      <w:lvlText w:val=""/>
      <w:lvlJc w:val="left"/>
      <w:pPr>
        <w:tabs>
          <w:tab w:val="num" w:pos="360"/>
        </w:tabs>
      </w:pPr>
    </w:lvl>
    <w:lvl w:ilvl="8" w:tplc="4A5E7EB2">
      <w:numFmt w:val="none"/>
      <w:lvlText w:val=""/>
      <w:lvlJc w:val="left"/>
      <w:pPr>
        <w:tabs>
          <w:tab w:val="num" w:pos="360"/>
        </w:tabs>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06F3EA1"/>
    <w:multiLevelType w:val="hybridMultilevel"/>
    <w:tmpl w:val="C1CAF2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E545DA2"/>
    <w:multiLevelType w:val="hybridMultilevel"/>
    <w:tmpl w:val="2A1CFA2E"/>
    <w:lvl w:ilvl="0" w:tplc="FFFFFFFF">
      <w:start w:val="1"/>
      <w:numFmt w:val="decimal"/>
      <w:lvlText w:val="%1."/>
      <w:lvlJc w:val="left"/>
      <w:pPr>
        <w:tabs>
          <w:tab w:val="num" w:pos="720"/>
        </w:tabs>
        <w:ind w:left="720" w:hanging="360"/>
      </w:pPr>
      <w:rPr>
        <w:rFonts w:hint="default"/>
      </w:rPr>
    </w:lvl>
    <w:lvl w:ilvl="1" w:tplc="FFFFFFFF">
      <w:start w:val="1"/>
      <w:numFmt w:val="upp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5"/>
  </w:num>
  <w:num w:numId="3">
    <w:abstractNumId w:val="32"/>
  </w:num>
  <w:num w:numId="4">
    <w:abstractNumId w:val="44"/>
  </w:num>
  <w:num w:numId="5">
    <w:abstractNumId w:val="36"/>
  </w:num>
  <w:num w:numId="6">
    <w:abstractNumId w:val="23"/>
  </w:num>
  <w:num w:numId="7">
    <w:abstractNumId w:val="41"/>
  </w:num>
  <w:num w:numId="8">
    <w:abstractNumId w:val="29"/>
  </w:num>
  <w:num w:numId="9">
    <w:abstractNumId w:val="4"/>
  </w:num>
  <w:num w:numId="10">
    <w:abstractNumId w:val="27"/>
  </w:num>
  <w:num w:numId="11">
    <w:abstractNumId w:val="12"/>
  </w:num>
  <w:num w:numId="12">
    <w:abstractNumId w:val="7"/>
  </w:num>
  <w:num w:numId="13">
    <w:abstractNumId w:val="42"/>
  </w:num>
  <w:num w:numId="14">
    <w:abstractNumId w:val="30"/>
  </w:num>
  <w:num w:numId="15">
    <w:abstractNumId w:val="5"/>
  </w:num>
  <w:num w:numId="16">
    <w:abstractNumId w:val="25"/>
  </w:num>
  <w:num w:numId="17">
    <w:abstractNumId w:val="22"/>
  </w:num>
  <w:num w:numId="18">
    <w:abstractNumId w:val="43"/>
  </w:num>
  <w:num w:numId="19">
    <w:abstractNumId w:val="39"/>
  </w:num>
  <w:num w:numId="20">
    <w:abstractNumId w:val="21"/>
  </w:num>
  <w:num w:numId="21">
    <w:abstractNumId w:val="38"/>
  </w:num>
  <w:num w:numId="22">
    <w:abstractNumId w:val="6"/>
  </w:num>
  <w:num w:numId="23">
    <w:abstractNumId w:val="20"/>
  </w:num>
  <w:num w:numId="24">
    <w:abstractNumId w:val="24"/>
  </w:num>
  <w:num w:numId="25">
    <w:abstractNumId w:val="19"/>
  </w:num>
  <w:num w:numId="26">
    <w:abstractNumId w:val="26"/>
  </w:num>
  <w:num w:numId="27">
    <w:abstractNumId w:val="1"/>
  </w:num>
  <w:num w:numId="28">
    <w:abstractNumId w:val="2"/>
  </w:num>
  <w:num w:numId="29">
    <w:abstractNumId w:val="10"/>
  </w:num>
  <w:num w:numId="30">
    <w:abstractNumId w:val="3"/>
  </w:num>
  <w:num w:numId="31">
    <w:abstractNumId w:val="34"/>
  </w:num>
  <w:num w:numId="32">
    <w:abstractNumId w:val="33"/>
  </w:num>
  <w:num w:numId="33">
    <w:abstractNumId w:val="14"/>
  </w:num>
  <w:num w:numId="34">
    <w:abstractNumId w:val="15"/>
  </w:num>
  <w:num w:numId="35">
    <w:abstractNumId w:val="0"/>
  </w:num>
  <w:num w:numId="36">
    <w:abstractNumId w:val="40"/>
  </w:num>
  <w:num w:numId="37">
    <w:abstractNumId w:val="16"/>
  </w:num>
  <w:num w:numId="38">
    <w:abstractNumId w:val="9"/>
  </w:num>
  <w:num w:numId="39">
    <w:abstractNumId w:val="11"/>
  </w:num>
  <w:num w:numId="40">
    <w:abstractNumId w:val="18"/>
  </w:num>
  <w:num w:numId="41">
    <w:abstractNumId w:val="37"/>
  </w:num>
  <w:num w:numId="42">
    <w:abstractNumId w:val="8"/>
  </w:num>
  <w:num w:numId="43">
    <w:abstractNumId w:val="28"/>
  </w:num>
  <w:num w:numId="44">
    <w:abstractNumId w:val="13"/>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B654A"/>
    <w:rsid w:val="000D75E7"/>
    <w:rsid w:val="001045BF"/>
    <w:rsid w:val="00236726"/>
    <w:rsid w:val="00244DD7"/>
    <w:rsid w:val="00373F2F"/>
    <w:rsid w:val="003863F6"/>
    <w:rsid w:val="00446300"/>
    <w:rsid w:val="004B1B71"/>
    <w:rsid w:val="005275A5"/>
    <w:rsid w:val="005307D9"/>
    <w:rsid w:val="00623E53"/>
    <w:rsid w:val="00632BC7"/>
    <w:rsid w:val="006D0C74"/>
    <w:rsid w:val="007B7482"/>
    <w:rsid w:val="009D3B04"/>
    <w:rsid w:val="00A0083B"/>
    <w:rsid w:val="00A6507D"/>
    <w:rsid w:val="00A728D1"/>
    <w:rsid w:val="00A92414"/>
    <w:rsid w:val="00B30978"/>
    <w:rsid w:val="00B3540A"/>
    <w:rsid w:val="00B3659A"/>
    <w:rsid w:val="00B76DA7"/>
    <w:rsid w:val="00BE2239"/>
    <w:rsid w:val="00CC116E"/>
    <w:rsid w:val="00CD6BED"/>
    <w:rsid w:val="00D15C96"/>
    <w:rsid w:val="00D40E14"/>
    <w:rsid w:val="00D6031F"/>
    <w:rsid w:val="00D924BE"/>
    <w:rsid w:val="00D97B5F"/>
    <w:rsid w:val="00DE3C5F"/>
    <w:rsid w:val="00E50269"/>
    <w:rsid w:val="00E77BDD"/>
    <w:rsid w:val="00F26635"/>
    <w:rsid w:val="00F925E6"/>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Default">
    <w:name w:val="Default"/>
    <w:rsid w:val="003863F6"/>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Sangradetextonormal">
    <w:name w:val="Body Text Indent"/>
    <w:basedOn w:val="Normal"/>
    <w:link w:val="SangradetextonormalCar"/>
    <w:unhideWhenUsed/>
    <w:rsid w:val="00D6031F"/>
    <w:pPr>
      <w:spacing w:after="120"/>
      <w:ind w:left="283"/>
    </w:pPr>
    <w:rPr>
      <w:sz w:val="20"/>
      <w:szCs w:val="20"/>
    </w:rPr>
  </w:style>
  <w:style w:type="character" w:customStyle="1" w:styleId="SangradetextonormalCar">
    <w:name w:val="Sangría de texto normal Car"/>
    <w:basedOn w:val="Fuentedeprrafopredeter"/>
    <w:link w:val="Sangradetextonormal"/>
    <w:rsid w:val="00D6031F"/>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nhideWhenUsed/>
    <w:rsid w:val="00D6031F"/>
    <w:pPr>
      <w:spacing w:after="120" w:line="480" w:lineRule="auto"/>
      <w:ind w:left="283"/>
    </w:pPr>
    <w:rPr>
      <w:sz w:val="20"/>
      <w:szCs w:val="20"/>
    </w:rPr>
  </w:style>
  <w:style w:type="character" w:customStyle="1" w:styleId="Sangra2detindependienteCar">
    <w:name w:val="Sangría 2 de t. independiente Car"/>
    <w:basedOn w:val="Fuentedeprrafopredeter"/>
    <w:link w:val="Sangra2detindependiente"/>
    <w:rsid w:val="00D6031F"/>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Default">
    <w:name w:val="Default"/>
    <w:rsid w:val="003863F6"/>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Sangradetextonormal">
    <w:name w:val="Body Text Indent"/>
    <w:basedOn w:val="Normal"/>
    <w:link w:val="SangradetextonormalCar"/>
    <w:unhideWhenUsed/>
    <w:rsid w:val="00D6031F"/>
    <w:pPr>
      <w:spacing w:after="120"/>
      <w:ind w:left="283"/>
    </w:pPr>
    <w:rPr>
      <w:sz w:val="20"/>
      <w:szCs w:val="20"/>
    </w:rPr>
  </w:style>
  <w:style w:type="character" w:customStyle="1" w:styleId="SangradetextonormalCar">
    <w:name w:val="Sangría de texto normal Car"/>
    <w:basedOn w:val="Fuentedeprrafopredeter"/>
    <w:link w:val="Sangradetextonormal"/>
    <w:rsid w:val="00D6031F"/>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nhideWhenUsed/>
    <w:rsid w:val="00D6031F"/>
    <w:pPr>
      <w:spacing w:after="120" w:line="480" w:lineRule="auto"/>
      <w:ind w:left="283"/>
    </w:pPr>
    <w:rPr>
      <w:sz w:val="20"/>
      <w:szCs w:val="20"/>
    </w:rPr>
  </w:style>
  <w:style w:type="character" w:customStyle="1" w:styleId="Sangra2detindependienteCar">
    <w:name w:val="Sangría 2 de t. independiente Car"/>
    <w:basedOn w:val="Fuentedeprrafopredeter"/>
    <w:link w:val="Sangra2detindependiente"/>
    <w:rsid w:val="00D6031F"/>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4983E-5416-40F1-80E1-CC59EA421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1606</Words>
  <Characters>8838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4</cp:revision>
  <cp:lastPrinted>2015-11-23T21:44:00Z</cp:lastPrinted>
  <dcterms:created xsi:type="dcterms:W3CDTF">2015-08-20T17:31:00Z</dcterms:created>
  <dcterms:modified xsi:type="dcterms:W3CDTF">2015-11-23T22:08:00Z</dcterms:modified>
</cp:coreProperties>
</file>